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516" w:rsidRPr="00E561C2" w:rsidRDefault="00027A5C">
      <w:pPr>
        <w:rPr>
          <w:rFonts w:ascii="Times New Roman" w:hAnsi="Times New Roman" w:cs="Times New Roman"/>
          <w:b/>
          <w:i/>
          <w:color w:val="1F4E79" w:themeColor="accent1" w:themeShade="80"/>
          <w:sz w:val="28"/>
        </w:rPr>
      </w:pPr>
      <w:bookmarkStart w:id="0" w:name="OLE_LINK1"/>
      <w:bookmarkStart w:id="1" w:name="OLE_LINK2"/>
      <w:bookmarkStart w:id="2" w:name="_GoBack"/>
      <w:bookmarkEnd w:id="2"/>
      <w:r w:rsidRPr="00E561C2">
        <w:rPr>
          <w:rFonts w:ascii="Times New Roman" w:hAnsi="Times New Roman" w:cs="Times New Roman"/>
          <w:b/>
          <w:i/>
          <w:color w:val="1F4E79" w:themeColor="accent1" w:themeShade="80"/>
          <w:sz w:val="28"/>
        </w:rPr>
        <w:t>Cost Comparison – Black Only</w:t>
      </w:r>
    </w:p>
    <w:p w:rsidR="00027A5C" w:rsidRPr="00027A5C" w:rsidRDefault="00027A5C">
      <w:pPr>
        <w:rPr>
          <w:b/>
          <w:i/>
        </w:rPr>
      </w:pPr>
    </w:p>
    <w:p w:rsidR="00027A5C" w:rsidRPr="00027A5C" w:rsidRDefault="00027A5C">
      <w:pPr>
        <w:rPr>
          <w:rFonts w:ascii="Times New Roman" w:hAnsi="Times New Roman" w:cs="Times New Roman"/>
        </w:rPr>
      </w:pPr>
      <w:r w:rsidRPr="00027A5C">
        <w:rPr>
          <w:rFonts w:ascii="Times New Roman" w:hAnsi="Times New Roman" w:cs="Times New Roman"/>
        </w:rPr>
        <w:t>This is an SPC Comparison contrasting your district with other client school districts through</w:t>
      </w:r>
      <w:r>
        <w:rPr>
          <w:rFonts w:ascii="Times New Roman" w:hAnsi="Times New Roman" w:cs="Times New Roman"/>
        </w:rPr>
        <w:t>out</w:t>
      </w:r>
      <w:r w:rsidRPr="00027A5C">
        <w:rPr>
          <w:rFonts w:ascii="Times New Roman" w:hAnsi="Times New Roman" w:cs="Times New Roman"/>
        </w:rPr>
        <w:t xml:space="preserve"> the states of Maine, New Hampshire, and Vermont. By comparing to the Average Student to Copy Usage, this will help you to set up future budgets if student populations increase or decrease within the district or if you plan to build an addition or a new school.</w:t>
      </w:r>
    </w:p>
    <w:p w:rsidR="00027A5C" w:rsidRPr="00027A5C" w:rsidRDefault="00027A5C"/>
    <w:tbl>
      <w:tblPr>
        <w:tblStyle w:val="TableGrid"/>
        <w:tblW w:w="12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8"/>
        <w:gridCol w:w="1744"/>
        <w:gridCol w:w="1671"/>
        <w:gridCol w:w="1746"/>
        <w:gridCol w:w="1879"/>
        <w:gridCol w:w="1634"/>
      </w:tblGrid>
      <w:tr w:rsidR="00027A5C" w:rsidRPr="00027A5C" w:rsidTr="00027A5C">
        <w:tc>
          <w:tcPr>
            <w:tcW w:w="3678" w:type="dxa"/>
          </w:tcPr>
          <w:p w:rsidR="00027A5C" w:rsidRPr="00027A5C" w:rsidRDefault="00027A5C" w:rsidP="00027A5C">
            <w:pPr>
              <w:jc w:val="center"/>
              <w:rPr>
                <w:b/>
                <w:i/>
                <w:sz w:val="22"/>
              </w:rPr>
            </w:pPr>
          </w:p>
        </w:tc>
        <w:tc>
          <w:tcPr>
            <w:tcW w:w="1744" w:type="dxa"/>
          </w:tcPr>
          <w:p w:rsidR="00027A5C" w:rsidRPr="00027A5C" w:rsidRDefault="00027A5C" w:rsidP="00027A5C">
            <w:pPr>
              <w:jc w:val="center"/>
              <w:rPr>
                <w:b/>
                <w:i/>
                <w:sz w:val="22"/>
              </w:rPr>
            </w:pPr>
            <w:r w:rsidRPr="00027A5C">
              <w:rPr>
                <w:b/>
                <w:i/>
                <w:sz w:val="22"/>
              </w:rPr>
              <w:t>Total Student</w:t>
            </w:r>
          </w:p>
          <w:p w:rsidR="00027A5C" w:rsidRPr="00027A5C" w:rsidRDefault="00027A5C" w:rsidP="00027A5C">
            <w:pPr>
              <w:jc w:val="center"/>
              <w:rPr>
                <w:b/>
                <w:i/>
                <w:sz w:val="22"/>
              </w:rPr>
            </w:pPr>
            <w:r w:rsidRPr="00027A5C">
              <w:rPr>
                <w:b/>
                <w:i/>
                <w:sz w:val="22"/>
              </w:rPr>
              <w:t>Population</w:t>
            </w:r>
          </w:p>
        </w:tc>
        <w:tc>
          <w:tcPr>
            <w:tcW w:w="1671" w:type="dxa"/>
          </w:tcPr>
          <w:p w:rsidR="00027A5C" w:rsidRPr="00027A5C" w:rsidRDefault="00027A5C" w:rsidP="00027A5C">
            <w:pPr>
              <w:jc w:val="center"/>
              <w:rPr>
                <w:b/>
                <w:i/>
                <w:sz w:val="22"/>
              </w:rPr>
            </w:pPr>
            <w:r w:rsidRPr="00027A5C">
              <w:rPr>
                <w:b/>
                <w:i/>
                <w:sz w:val="22"/>
              </w:rPr>
              <w:t>Total Annual</w:t>
            </w:r>
          </w:p>
          <w:p w:rsidR="00027A5C" w:rsidRPr="00027A5C" w:rsidRDefault="00027A5C" w:rsidP="00027A5C">
            <w:pPr>
              <w:jc w:val="center"/>
              <w:rPr>
                <w:b/>
                <w:i/>
                <w:sz w:val="22"/>
              </w:rPr>
            </w:pPr>
            <w:r w:rsidRPr="00027A5C">
              <w:rPr>
                <w:b/>
                <w:i/>
                <w:sz w:val="22"/>
              </w:rPr>
              <w:t>Volume</w:t>
            </w:r>
          </w:p>
        </w:tc>
        <w:tc>
          <w:tcPr>
            <w:tcW w:w="1746" w:type="dxa"/>
          </w:tcPr>
          <w:p w:rsidR="00027A5C" w:rsidRPr="00027A5C" w:rsidRDefault="00027A5C" w:rsidP="00027A5C">
            <w:pPr>
              <w:jc w:val="center"/>
              <w:rPr>
                <w:b/>
                <w:i/>
                <w:sz w:val="22"/>
              </w:rPr>
            </w:pPr>
            <w:r w:rsidRPr="00027A5C">
              <w:rPr>
                <w:b/>
                <w:i/>
                <w:sz w:val="22"/>
              </w:rPr>
              <w:t>Total</w:t>
            </w:r>
          </w:p>
          <w:p w:rsidR="00027A5C" w:rsidRPr="00027A5C" w:rsidRDefault="00027A5C" w:rsidP="00027A5C">
            <w:pPr>
              <w:jc w:val="center"/>
              <w:rPr>
                <w:b/>
                <w:i/>
                <w:sz w:val="22"/>
              </w:rPr>
            </w:pPr>
            <w:r w:rsidRPr="00027A5C">
              <w:rPr>
                <w:b/>
                <w:i/>
                <w:sz w:val="22"/>
              </w:rPr>
              <w:t>District Cost*</w:t>
            </w:r>
          </w:p>
        </w:tc>
        <w:tc>
          <w:tcPr>
            <w:tcW w:w="1879" w:type="dxa"/>
          </w:tcPr>
          <w:p w:rsidR="00027A5C" w:rsidRPr="00027A5C" w:rsidRDefault="00027A5C" w:rsidP="00027A5C">
            <w:pPr>
              <w:jc w:val="center"/>
              <w:rPr>
                <w:b/>
                <w:i/>
                <w:sz w:val="22"/>
              </w:rPr>
            </w:pPr>
            <w:r w:rsidRPr="00027A5C">
              <w:rPr>
                <w:b/>
                <w:i/>
                <w:sz w:val="22"/>
              </w:rPr>
              <w:t>Annual Copies</w:t>
            </w:r>
          </w:p>
          <w:p w:rsidR="00027A5C" w:rsidRPr="00027A5C" w:rsidRDefault="00027A5C" w:rsidP="00027A5C">
            <w:pPr>
              <w:jc w:val="center"/>
              <w:rPr>
                <w:b/>
                <w:i/>
                <w:sz w:val="22"/>
              </w:rPr>
            </w:pPr>
            <w:r w:rsidRPr="00027A5C">
              <w:rPr>
                <w:b/>
                <w:i/>
                <w:sz w:val="22"/>
              </w:rPr>
              <w:t>Per Student</w:t>
            </w:r>
          </w:p>
        </w:tc>
        <w:tc>
          <w:tcPr>
            <w:tcW w:w="1634" w:type="dxa"/>
          </w:tcPr>
          <w:p w:rsidR="00027A5C" w:rsidRPr="00027A5C" w:rsidRDefault="00027A5C" w:rsidP="00027A5C">
            <w:pPr>
              <w:jc w:val="center"/>
              <w:rPr>
                <w:b/>
                <w:i/>
                <w:sz w:val="22"/>
              </w:rPr>
            </w:pPr>
            <w:r w:rsidRPr="00027A5C">
              <w:rPr>
                <w:b/>
                <w:i/>
                <w:sz w:val="22"/>
              </w:rPr>
              <w:t>Annual Cost</w:t>
            </w:r>
          </w:p>
          <w:p w:rsidR="00027A5C" w:rsidRPr="00027A5C" w:rsidRDefault="00027A5C" w:rsidP="00027A5C">
            <w:pPr>
              <w:jc w:val="center"/>
              <w:rPr>
                <w:b/>
                <w:i/>
                <w:sz w:val="22"/>
              </w:rPr>
            </w:pPr>
            <w:r w:rsidRPr="00027A5C">
              <w:rPr>
                <w:b/>
                <w:i/>
                <w:sz w:val="22"/>
              </w:rPr>
              <w:t>Per Student</w:t>
            </w:r>
          </w:p>
        </w:tc>
      </w:tr>
      <w:tr w:rsidR="00027A5C" w:rsidRPr="00027A5C" w:rsidTr="00027A5C">
        <w:tc>
          <w:tcPr>
            <w:tcW w:w="3678" w:type="dxa"/>
          </w:tcPr>
          <w:p w:rsidR="00027A5C" w:rsidRPr="00027A5C" w:rsidRDefault="00027A5C">
            <w:pPr>
              <w:rPr>
                <w:sz w:val="22"/>
              </w:rPr>
            </w:pPr>
          </w:p>
        </w:tc>
        <w:tc>
          <w:tcPr>
            <w:tcW w:w="1744" w:type="dxa"/>
          </w:tcPr>
          <w:p w:rsidR="00027A5C" w:rsidRPr="00027A5C" w:rsidRDefault="00027A5C" w:rsidP="00027A5C">
            <w:pPr>
              <w:jc w:val="center"/>
              <w:rPr>
                <w:sz w:val="22"/>
              </w:rPr>
            </w:pPr>
          </w:p>
        </w:tc>
        <w:tc>
          <w:tcPr>
            <w:tcW w:w="1671" w:type="dxa"/>
          </w:tcPr>
          <w:p w:rsidR="00027A5C" w:rsidRPr="00027A5C" w:rsidRDefault="00027A5C" w:rsidP="00027A5C">
            <w:pPr>
              <w:jc w:val="center"/>
              <w:rPr>
                <w:sz w:val="22"/>
              </w:rPr>
            </w:pPr>
          </w:p>
        </w:tc>
        <w:tc>
          <w:tcPr>
            <w:tcW w:w="1746" w:type="dxa"/>
          </w:tcPr>
          <w:p w:rsidR="00027A5C" w:rsidRPr="00027A5C" w:rsidRDefault="00027A5C" w:rsidP="00027A5C">
            <w:pPr>
              <w:jc w:val="center"/>
              <w:rPr>
                <w:sz w:val="22"/>
              </w:rPr>
            </w:pPr>
          </w:p>
        </w:tc>
        <w:tc>
          <w:tcPr>
            <w:tcW w:w="1879" w:type="dxa"/>
          </w:tcPr>
          <w:p w:rsidR="00027A5C" w:rsidRPr="00027A5C" w:rsidRDefault="00027A5C" w:rsidP="00027A5C">
            <w:pPr>
              <w:jc w:val="center"/>
              <w:rPr>
                <w:sz w:val="22"/>
              </w:rPr>
            </w:pPr>
          </w:p>
        </w:tc>
        <w:tc>
          <w:tcPr>
            <w:tcW w:w="1634" w:type="dxa"/>
          </w:tcPr>
          <w:p w:rsidR="00027A5C" w:rsidRPr="00027A5C" w:rsidRDefault="00027A5C" w:rsidP="00027A5C">
            <w:pPr>
              <w:jc w:val="center"/>
              <w:rPr>
                <w:sz w:val="22"/>
              </w:rPr>
            </w:pPr>
          </w:p>
        </w:tc>
      </w:tr>
      <w:tr w:rsidR="00027A5C" w:rsidRPr="00027A5C" w:rsidTr="00027A5C">
        <w:tc>
          <w:tcPr>
            <w:tcW w:w="3678" w:type="dxa"/>
          </w:tcPr>
          <w:p w:rsidR="00027A5C" w:rsidRPr="00027A5C" w:rsidRDefault="00027A5C">
            <w:pPr>
              <w:rPr>
                <w:color w:val="FF0000"/>
                <w:sz w:val="22"/>
              </w:rPr>
            </w:pPr>
            <w:r w:rsidRPr="00027A5C">
              <w:rPr>
                <w:color w:val="FF0000"/>
                <w:sz w:val="22"/>
              </w:rPr>
              <w:t>All Schools w/Student Populations</w:t>
            </w:r>
          </w:p>
        </w:tc>
        <w:tc>
          <w:tcPr>
            <w:tcW w:w="1744" w:type="dxa"/>
          </w:tcPr>
          <w:p w:rsidR="00027A5C" w:rsidRPr="00027A5C" w:rsidRDefault="00527F69" w:rsidP="00027A5C">
            <w:pPr>
              <w:jc w:val="center"/>
              <w:rPr>
                <w:color w:val="FF0000"/>
                <w:sz w:val="22"/>
              </w:rPr>
            </w:pPr>
            <w:r>
              <w:rPr>
                <w:color w:val="FF0000"/>
                <w:sz w:val="22"/>
              </w:rPr>
              <w:t>88,869</w:t>
            </w:r>
          </w:p>
        </w:tc>
        <w:tc>
          <w:tcPr>
            <w:tcW w:w="1671" w:type="dxa"/>
          </w:tcPr>
          <w:p w:rsidR="00027A5C" w:rsidRPr="00027A5C" w:rsidRDefault="00527F69" w:rsidP="00027A5C">
            <w:pPr>
              <w:jc w:val="center"/>
              <w:rPr>
                <w:color w:val="FF0000"/>
                <w:sz w:val="22"/>
              </w:rPr>
            </w:pPr>
            <w:r>
              <w:rPr>
                <w:color w:val="FF0000"/>
                <w:sz w:val="22"/>
              </w:rPr>
              <w:t>208,341,405</w:t>
            </w:r>
          </w:p>
        </w:tc>
        <w:tc>
          <w:tcPr>
            <w:tcW w:w="1746" w:type="dxa"/>
          </w:tcPr>
          <w:p w:rsidR="00027A5C" w:rsidRPr="00027A5C" w:rsidRDefault="00027A5C" w:rsidP="00527F69">
            <w:pPr>
              <w:jc w:val="center"/>
              <w:rPr>
                <w:color w:val="FF0000"/>
                <w:sz w:val="22"/>
              </w:rPr>
            </w:pPr>
            <w:r w:rsidRPr="00027A5C">
              <w:rPr>
                <w:color w:val="FF0000"/>
                <w:sz w:val="22"/>
              </w:rPr>
              <w:t>$4,</w:t>
            </w:r>
            <w:r w:rsidR="00527F69">
              <w:rPr>
                <w:color w:val="FF0000"/>
                <w:sz w:val="22"/>
              </w:rPr>
              <w:t>221,261.80</w:t>
            </w:r>
          </w:p>
        </w:tc>
        <w:tc>
          <w:tcPr>
            <w:tcW w:w="1879" w:type="dxa"/>
          </w:tcPr>
          <w:p w:rsidR="00027A5C" w:rsidRPr="00027A5C" w:rsidRDefault="00527F69" w:rsidP="00027A5C">
            <w:pPr>
              <w:jc w:val="center"/>
              <w:rPr>
                <w:color w:val="FF0000"/>
                <w:sz w:val="22"/>
              </w:rPr>
            </w:pPr>
            <w:r>
              <w:rPr>
                <w:color w:val="FF0000"/>
                <w:sz w:val="22"/>
              </w:rPr>
              <w:t>2,344</w:t>
            </w:r>
          </w:p>
        </w:tc>
        <w:tc>
          <w:tcPr>
            <w:tcW w:w="1634" w:type="dxa"/>
          </w:tcPr>
          <w:p w:rsidR="00027A5C" w:rsidRPr="00027A5C" w:rsidRDefault="00527F69" w:rsidP="00027A5C">
            <w:pPr>
              <w:jc w:val="center"/>
              <w:rPr>
                <w:color w:val="FF0000"/>
                <w:sz w:val="22"/>
              </w:rPr>
            </w:pPr>
            <w:r>
              <w:rPr>
                <w:color w:val="FF0000"/>
                <w:sz w:val="22"/>
              </w:rPr>
              <w:t>$47.50</w:t>
            </w:r>
          </w:p>
        </w:tc>
      </w:tr>
    </w:tbl>
    <w:p w:rsidR="00027A5C" w:rsidRDefault="00027A5C"/>
    <w:p w:rsidR="00027A5C" w:rsidRDefault="00027A5C">
      <w:pPr>
        <w:rPr>
          <w:i/>
          <w:sz w:val="20"/>
        </w:rPr>
      </w:pPr>
      <w:r w:rsidRPr="00027A5C">
        <w:rPr>
          <w:i/>
          <w:sz w:val="20"/>
        </w:rPr>
        <w:t>* Total District Cost refers to the cost of Service, Supplies, Paper, and Equipment</w:t>
      </w:r>
    </w:p>
    <w:p w:rsidR="00527F69" w:rsidRDefault="00527F69">
      <w:pPr>
        <w:rPr>
          <w:i/>
          <w:sz w:val="20"/>
        </w:rPr>
      </w:pPr>
    </w:p>
    <w:p w:rsidR="00527F69" w:rsidRDefault="00527F69">
      <w:pPr>
        <w:rPr>
          <w:i/>
          <w:sz w:val="20"/>
        </w:rPr>
      </w:pPr>
    </w:p>
    <w:p w:rsidR="00527F69" w:rsidRDefault="00527F69">
      <w:pPr>
        <w:rPr>
          <w:i/>
          <w:sz w:val="20"/>
        </w:rPr>
      </w:pPr>
    </w:p>
    <w:p w:rsidR="00027A5C" w:rsidRPr="00527F69" w:rsidRDefault="00527F69" w:rsidP="00527F69">
      <w:pPr>
        <w:jc w:val="center"/>
        <w:rPr>
          <w:i/>
          <w:sz w:val="20"/>
        </w:rPr>
      </w:pPr>
      <w:r>
        <w:rPr>
          <w:noProof/>
        </w:rPr>
        <w:drawing>
          <wp:inline distT="0" distB="0" distL="0" distR="0" wp14:anchorId="0E07D642" wp14:editId="51010D91">
            <wp:extent cx="6297930" cy="3377565"/>
            <wp:effectExtent l="0" t="0" r="7620"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bookmarkEnd w:id="0"/>
      <w:bookmarkEnd w:id="1"/>
      <w:r w:rsidR="00027A5C">
        <w:br w:type="page"/>
      </w:r>
    </w:p>
    <w:p w:rsidR="00027A5C" w:rsidRPr="00E561C2" w:rsidRDefault="00027A5C" w:rsidP="00027A5C">
      <w:pPr>
        <w:rPr>
          <w:rFonts w:ascii="Times New Roman" w:hAnsi="Times New Roman" w:cs="Times New Roman"/>
          <w:b/>
          <w:i/>
          <w:color w:val="1F4E79" w:themeColor="accent1" w:themeShade="80"/>
          <w:sz w:val="28"/>
        </w:rPr>
      </w:pPr>
      <w:r w:rsidRPr="00E561C2">
        <w:rPr>
          <w:rFonts w:ascii="Times New Roman" w:hAnsi="Times New Roman" w:cs="Times New Roman"/>
          <w:b/>
          <w:i/>
          <w:color w:val="1F4E79" w:themeColor="accent1" w:themeShade="80"/>
          <w:sz w:val="28"/>
        </w:rPr>
        <w:lastRenderedPageBreak/>
        <w:t>Cost Comparison – Color Only</w:t>
      </w:r>
    </w:p>
    <w:p w:rsidR="00027A5C" w:rsidRPr="00027A5C" w:rsidRDefault="00027A5C" w:rsidP="00027A5C">
      <w:pPr>
        <w:rPr>
          <w:b/>
          <w:i/>
        </w:rPr>
      </w:pPr>
    </w:p>
    <w:p w:rsidR="00027A5C" w:rsidRPr="00027A5C" w:rsidRDefault="00027A5C" w:rsidP="00027A5C">
      <w:pPr>
        <w:rPr>
          <w:rFonts w:ascii="Times New Roman" w:hAnsi="Times New Roman" w:cs="Times New Roman"/>
        </w:rPr>
      </w:pPr>
      <w:r w:rsidRPr="00027A5C">
        <w:rPr>
          <w:rFonts w:ascii="Times New Roman" w:hAnsi="Times New Roman" w:cs="Times New Roman"/>
        </w:rPr>
        <w:t>This is an SPC Comparison contrasting your district with other client school districts through</w:t>
      </w:r>
      <w:r>
        <w:rPr>
          <w:rFonts w:ascii="Times New Roman" w:hAnsi="Times New Roman" w:cs="Times New Roman"/>
        </w:rPr>
        <w:t>out</w:t>
      </w:r>
      <w:r w:rsidRPr="00027A5C">
        <w:rPr>
          <w:rFonts w:ascii="Times New Roman" w:hAnsi="Times New Roman" w:cs="Times New Roman"/>
        </w:rPr>
        <w:t xml:space="preserve"> the states of Maine, New Hampshire, and Vermont. By comparing to the Average Student to Copy Usage, this will help you to set up future budgets if student populations increase or decrease within the district or if you plan to build an addition or a new school.</w:t>
      </w:r>
    </w:p>
    <w:p w:rsidR="00027A5C" w:rsidRPr="00027A5C" w:rsidRDefault="00027A5C" w:rsidP="00027A5C"/>
    <w:tbl>
      <w:tblPr>
        <w:tblStyle w:val="TableGrid"/>
        <w:tblW w:w="12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8"/>
        <w:gridCol w:w="1744"/>
        <w:gridCol w:w="1671"/>
        <w:gridCol w:w="1746"/>
        <w:gridCol w:w="1879"/>
        <w:gridCol w:w="1634"/>
      </w:tblGrid>
      <w:tr w:rsidR="00027A5C" w:rsidRPr="00027A5C" w:rsidTr="00C641E5">
        <w:tc>
          <w:tcPr>
            <w:tcW w:w="3678" w:type="dxa"/>
          </w:tcPr>
          <w:p w:rsidR="00027A5C" w:rsidRPr="00027A5C" w:rsidRDefault="00027A5C" w:rsidP="00C641E5">
            <w:pPr>
              <w:jc w:val="center"/>
              <w:rPr>
                <w:b/>
                <w:i/>
                <w:sz w:val="22"/>
              </w:rPr>
            </w:pPr>
          </w:p>
        </w:tc>
        <w:tc>
          <w:tcPr>
            <w:tcW w:w="1744" w:type="dxa"/>
          </w:tcPr>
          <w:p w:rsidR="00027A5C" w:rsidRPr="00027A5C" w:rsidRDefault="00027A5C" w:rsidP="00C641E5">
            <w:pPr>
              <w:jc w:val="center"/>
              <w:rPr>
                <w:b/>
                <w:i/>
                <w:sz w:val="22"/>
              </w:rPr>
            </w:pPr>
            <w:r w:rsidRPr="00027A5C">
              <w:rPr>
                <w:b/>
                <w:i/>
                <w:sz w:val="22"/>
              </w:rPr>
              <w:t>Total Student</w:t>
            </w:r>
          </w:p>
          <w:p w:rsidR="00027A5C" w:rsidRPr="00027A5C" w:rsidRDefault="00027A5C" w:rsidP="00C641E5">
            <w:pPr>
              <w:jc w:val="center"/>
              <w:rPr>
                <w:b/>
                <w:i/>
                <w:sz w:val="22"/>
              </w:rPr>
            </w:pPr>
            <w:r w:rsidRPr="00027A5C">
              <w:rPr>
                <w:b/>
                <w:i/>
                <w:sz w:val="22"/>
              </w:rPr>
              <w:t>Population</w:t>
            </w:r>
          </w:p>
        </w:tc>
        <w:tc>
          <w:tcPr>
            <w:tcW w:w="1671" w:type="dxa"/>
          </w:tcPr>
          <w:p w:rsidR="00027A5C" w:rsidRPr="00027A5C" w:rsidRDefault="00027A5C" w:rsidP="00C641E5">
            <w:pPr>
              <w:jc w:val="center"/>
              <w:rPr>
                <w:b/>
                <w:i/>
                <w:sz w:val="22"/>
              </w:rPr>
            </w:pPr>
            <w:r w:rsidRPr="00027A5C">
              <w:rPr>
                <w:b/>
                <w:i/>
                <w:sz w:val="22"/>
              </w:rPr>
              <w:t>Total Annual</w:t>
            </w:r>
          </w:p>
          <w:p w:rsidR="00027A5C" w:rsidRPr="00027A5C" w:rsidRDefault="00027A5C" w:rsidP="00C641E5">
            <w:pPr>
              <w:jc w:val="center"/>
              <w:rPr>
                <w:b/>
                <w:i/>
                <w:sz w:val="22"/>
              </w:rPr>
            </w:pPr>
            <w:r w:rsidRPr="00027A5C">
              <w:rPr>
                <w:b/>
                <w:i/>
                <w:sz w:val="22"/>
              </w:rPr>
              <w:t>Volume</w:t>
            </w:r>
          </w:p>
        </w:tc>
        <w:tc>
          <w:tcPr>
            <w:tcW w:w="1746" w:type="dxa"/>
          </w:tcPr>
          <w:p w:rsidR="00027A5C" w:rsidRPr="00027A5C" w:rsidRDefault="00027A5C" w:rsidP="00C641E5">
            <w:pPr>
              <w:jc w:val="center"/>
              <w:rPr>
                <w:b/>
                <w:i/>
                <w:sz w:val="22"/>
              </w:rPr>
            </w:pPr>
            <w:r w:rsidRPr="00027A5C">
              <w:rPr>
                <w:b/>
                <w:i/>
                <w:sz w:val="22"/>
              </w:rPr>
              <w:t>Total</w:t>
            </w:r>
          </w:p>
          <w:p w:rsidR="00027A5C" w:rsidRPr="00027A5C" w:rsidRDefault="00027A5C" w:rsidP="00C641E5">
            <w:pPr>
              <w:jc w:val="center"/>
              <w:rPr>
                <w:b/>
                <w:i/>
                <w:sz w:val="22"/>
              </w:rPr>
            </w:pPr>
            <w:r w:rsidRPr="00027A5C">
              <w:rPr>
                <w:b/>
                <w:i/>
                <w:sz w:val="22"/>
              </w:rPr>
              <w:t>District Cost*</w:t>
            </w:r>
          </w:p>
        </w:tc>
        <w:tc>
          <w:tcPr>
            <w:tcW w:w="1879" w:type="dxa"/>
          </w:tcPr>
          <w:p w:rsidR="00027A5C" w:rsidRPr="00027A5C" w:rsidRDefault="00027A5C" w:rsidP="00C641E5">
            <w:pPr>
              <w:jc w:val="center"/>
              <w:rPr>
                <w:b/>
                <w:i/>
                <w:sz w:val="22"/>
              </w:rPr>
            </w:pPr>
            <w:r w:rsidRPr="00027A5C">
              <w:rPr>
                <w:b/>
                <w:i/>
                <w:sz w:val="22"/>
              </w:rPr>
              <w:t>Annual Copies</w:t>
            </w:r>
          </w:p>
          <w:p w:rsidR="00027A5C" w:rsidRPr="00027A5C" w:rsidRDefault="00027A5C" w:rsidP="00C641E5">
            <w:pPr>
              <w:jc w:val="center"/>
              <w:rPr>
                <w:b/>
                <w:i/>
                <w:sz w:val="22"/>
              </w:rPr>
            </w:pPr>
            <w:r w:rsidRPr="00027A5C">
              <w:rPr>
                <w:b/>
                <w:i/>
                <w:sz w:val="22"/>
              </w:rPr>
              <w:t>Per Student</w:t>
            </w:r>
          </w:p>
        </w:tc>
        <w:tc>
          <w:tcPr>
            <w:tcW w:w="1634" w:type="dxa"/>
          </w:tcPr>
          <w:p w:rsidR="00027A5C" w:rsidRPr="00027A5C" w:rsidRDefault="00027A5C" w:rsidP="00C641E5">
            <w:pPr>
              <w:jc w:val="center"/>
              <w:rPr>
                <w:b/>
                <w:i/>
                <w:sz w:val="22"/>
              </w:rPr>
            </w:pPr>
            <w:r w:rsidRPr="00027A5C">
              <w:rPr>
                <w:b/>
                <w:i/>
                <w:sz w:val="22"/>
              </w:rPr>
              <w:t>Annual Cost</w:t>
            </w:r>
          </w:p>
          <w:p w:rsidR="00027A5C" w:rsidRPr="00027A5C" w:rsidRDefault="00027A5C" w:rsidP="00C641E5">
            <w:pPr>
              <w:jc w:val="center"/>
              <w:rPr>
                <w:b/>
                <w:i/>
                <w:sz w:val="22"/>
              </w:rPr>
            </w:pPr>
            <w:r w:rsidRPr="00027A5C">
              <w:rPr>
                <w:b/>
                <w:i/>
                <w:sz w:val="22"/>
              </w:rPr>
              <w:t>Per Student</w:t>
            </w:r>
          </w:p>
        </w:tc>
      </w:tr>
      <w:tr w:rsidR="00027A5C" w:rsidRPr="00027A5C" w:rsidTr="00C641E5">
        <w:tc>
          <w:tcPr>
            <w:tcW w:w="3678" w:type="dxa"/>
          </w:tcPr>
          <w:p w:rsidR="00027A5C" w:rsidRPr="00027A5C" w:rsidRDefault="00027A5C" w:rsidP="00C641E5">
            <w:pPr>
              <w:rPr>
                <w:sz w:val="22"/>
              </w:rPr>
            </w:pPr>
          </w:p>
        </w:tc>
        <w:tc>
          <w:tcPr>
            <w:tcW w:w="1744" w:type="dxa"/>
          </w:tcPr>
          <w:p w:rsidR="00027A5C" w:rsidRPr="00027A5C" w:rsidRDefault="00027A5C" w:rsidP="00C641E5">
            <w:pPr>
              <w:jc w:val="center"/>
              <w:rPr>
                <w:sz w:val="22"/>
              </w:rPr>
            </w:pPr>
          </w:p>
        </w:tc>
        <w:tc>
          <w:tcPr>
            <w:tcW w:w="1671" w:type="dxa"/>
          </w:tcPr>
          <w:p w:rsidR="00027A5C" w:rsidRPr="00027A5C" w:rsidRDefault="00027A5C" w:rsidP="00C641E5">
            <w:pPr>
              <w:jc w:val="center"/>
              <w:rPr>
                <w:sz w:val="22"/>
              </w:rPr>
            </w:pPr>
          </w:p>
        </w:tc>
        <w:tc>
          <w:tcPr>
            <w:tcW w:w="1746" w:type="dxa"/>
          </w:tcPr>
          <w:p w:rsidR="00027A5C" w:rsidRPr="00027A5C" w:rsidRDefault="00027A5C" w:rsidP="00C641E5">
            <w:pPr>
              <w:jc w:val="center"/>
              <w:rPr>
                <w:sz w:val="22"/>
              </w:rPr>
            </w:pPr>
          </w:p>
        </w:tc>
        <w:tc>
          <w:tcPr>
            <w:tcW w:w="1879" w:type="dxa"/>
          </w:tcPr>
          <w:p w:rsidR="00027A5C" w:rsidRPr="00027A5C" w:rsidRDefault="00027A5C" w:rsidP="00C641E5">
            <w:pPr>
              <w:jc w:val="center"/>
              <w:rPr>
                <w:sz w:val="22"/>
              </w:rPr>
            </w:pPr>
          </w:p>
        </w:tc>
        <w:tc>
          <w:tcPr>
            <w:tcW w:w="1634" w:type="dxa"/>
          </w:tcPr>
          <w:p w:rsidR="00027A5C" w:rsidRPr="00027A5C" w:rsidRDefault="00027A5C" w:rsidP="00C641E5">
            <w:pPr>
              <w:jc w:val="center"/>
              <w:rPr>
                <w:sz w:val="22"/>
              </w:rPr>
            </w:pPr>
          </w:p>
        </w:tc>
      </w:tr>
      <w:tr w:rsidR="00027A5C" w:rsidRPr="00027A5C" w:rsidTr="00C641E5">
        <w:tc>
          <w:tcPr>
            <w:tcW w:w="3678" w:type="dxa"/>
          </w:tcPr>
          <w:p w:rsidR="00027A5C" w:rsidRPr="00027A5C" w:rsidRDefault="00027A5C" w:rsidP="00C641E5">
            <w:pPr>
              <w:rPr>
                <w:color w:val="FF0000"/>
                <w:sz w:val="22"/>
              </w:rPr>
            </w:pPr>
            <w:r w:rsidRPr="00027A5C">
              <w:rPr>
                <w:color w:val="FF0000"/>
                <w:sz w:val="22"/>
              </w:rPr>
              <w:t>All Schools w/Student Populations</w:t>
            </w:r>
          </w:p>
        </w:tc>
        <w:tc>
          <w:tcPr>
            <w:tcW w:w="1744" w:type="dxa"/>
          </w:tcPr>
          <w:p w:rsidR="00027A5C" w:rsidRPr="00027A5C" w:rsidRDefault="00AA7D85" w:rsidP="00C641E5">
            <w:pPr>
              <w:jc w:val="center"/>
              <w:rPr>
                <w:color w:val="FF0000"/>
                <w:sz w:val="22"/>
              </w:rPr>
            </w:pPr>
            <w:r>
              <w:rPr>
                <w:color w:val="FF0000"/>
                <w:sz w:val="22"/>
              </w:rPr>
              <w:t>88,869</w:t>
            </w:r>
          </w:p>
        </w:tc>
        <w:tc>
          <w:tcPr>
            <w:tcW w:w="1671" w:type="dxa"/>
          </w:tcPr>
          <w:p w:rsidR="00027A5C" w:rsidRPr="00027A5C" w:rsidRDefault="00AA7D85" w:rsidP="00C641E5">
            <w:pPr>
              <w:jc w:val="center"/>
              <w:rPr>
                <w:color w:val="FF0000"/>
                <w:sz w:val="22"/>
              </w:rPr>
            </w:pPr>
            <w:r>
              <w:rPr>
                <w:color w:val="FF0000"/>
                <w:sz w:val="22"/>
              </w:rPr>
              <w:t>16,445,907</w:t>
            </w:r>
          </w:p>
        </w:tc>
        <w:tc>
          <w:tcPr>
            <w:tcW w:w="1746" w:type="dxa"/>
          </w:tcPr>
          <w:p w:rsidR="00027A5C" w:rsidRPr="00027A5C" w:rsidRDefault="00027A5C" w:rsidP="00AA7D85">
            <w:pPr>
              <w:jc w:val="center"/>
              <w:rPr>
                <w:color w:val="FF0000"/>
                <w:sz w:val="22"/>
              </w:rPr>
            </w:pPr>
            <w:r>
              <w:rPr>
                <w:color w:val="FF0000"/>
                <w:sz w:val="22"/>
              </w:rPr>
              <w:t>$8</w:t>
            </w:r>
            <w:r w:rsidR="00AA7D85">
              <w:rPr>
                <w:color w:val="FF0000"/>
                <w:sz w:val="22"/>
              </w:rPr>
              <w:t>64,909.00</w:t>
            </w:r>
          </w:p>
        </w:tc>
        <w:tc>
          <w:tcPr>
            <w:tcW w:w="1879" w:type="dxa"/>
          </w:tcPr>
          <w:p w:rsidR="00027A5C" w:rsidRPr="00027A5C" w:rsidRDefault="00027A5C" w:rsidP="00C641E5">
            <w:pPr>
              <w:jc w:val="center"/>
              <w:rPr>
                <w:color w:val="FF0000"/>
                <w:sz w:val="22"/>
              </w:rPr>
            </w:pPr>
            <w:r>
              <w:rPr>
                <w:color w:val="FF0000"/>
                <w:sz w:val="22"/>
              </w:rPr>
              <w:t>185</w:t>
            </w:r>
          </w:p>
        </w:tc>
        <w:tc>
          <w:tcPr>
            <w:tcW w:w="1634" w:type="dxa"/>
          </w:tcPr>
          <w:p w:rsidR="00027A5C" w:rsidRPr="00027A5C" w:rsidRDefault="00027A5C" w:rsidP="00AA7D85">
            <w:pPr>
              <w:jc w:val="center"/>
              <w:rPr>
                <w:color w:val="FF0000"/>
                <w:sz w:val="22"/>
              </w:rPr>
            </w:pPr>
            <w:r>
              <w:rPr>
                <w:color w:val="FF0000"/>
                <w:sz w:val="22"/>
              </w:rPr>
              <w:t>$9.</w:t>
            </w:r>
            <w:r w:rsidR="00AA7D85">
              <w:rPr>
                <w:color w:val="FF0000"/>
                <w:sz w:val="22"/>
              </w:rPr>
              <w:t>73</w:t>
            </w:r>
          </w:p>
        </w:tc>
      </w:tr>
    </w:tbl>
    <w:p w:rsidR="00027A5C" w:rsidRDefault="00027A5C" w:rsidP="00027A5C"/>
    <w:p w:rsidR="00027A5C" w:rsidRPr="00027A5C" w:rsidRDefault="00027A5C" w:rsidP="00027A5C">
      <w:pPr>
        <w:rPr>
          <w:i/>
          <w:sz w:val="20"/>
        </w:rPr>
      </w:pPr>
      <w:r w:rsidRPr="00027A5C">
        <w:rPr>
          <w:i/>
          <w:sz w:val="20"/>
        </w:rPr>
        <w:t>* Total District Cost refers to the cost of Service</w:t>
      </w:r>
      <w:r>
        <w:rPr>
          <w:i/>
          <w:sz w:val="20"/>
        </w:rPr>
        <w:t xml:space="preserve"> and </w:t>
      </w:r>
      <w:r w:rsidRPr="00027A5C">
        <w:rPr>
          <w:i/>
          <w:sz w:val="20"/>
        </w:rPr>
        <w:t>Supplies</w:t>
      </w:r>
      <w:r>
        <w:rPr>
          <w:i/>
          <w:sz w:val="20"/>
        </w:rPr>
        <w:t xml:space="preserve"> only; paper and equipment costs are calculated into the Black Comparison chart.</w:t>
      </w:r>
    </w:p>
    <w:p w:rsidR="00027A5C" w:rsidRDefault="00027A5C" w:rsidP="00027A5C"/>
    <w:p w:rsidR="00027A5C" w:rsidRDefault="00027A5C"/>
    <w:p w:rsidR="00027A5C" w:rsidRDefault="00AA7D85" w:rsidP="00027A5C">
      <w:pPr>
        <w:jc w:val="center"/>
      </w:pPr>
      <w:r>
        <w:rPr>
          <w:noProof/>
        </w:rPr>
        <w:drawing>
          <wp:inline distT="0" distB="0" distL="0" distR="0" wp14:anchorId="4508ED60" wp14:editId="0457DB06">
            <wp:extent cx="6553200" cy="3474720"/>
            <wp:effectExtent l="0" t="0" r="0"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sectPr w:rsidR="00027A5C" w:rsidSect="00027A5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A5C"/>
    <w:rsid w:val="00027A5C"/>
    <w:rsid w:val="00527F69"/>
    <w:rsid w:val="00957516"/>
    <w:rsid w:val="00AA7D85"/>
    <w:rsid w:val="00DC628A"/>
    <w:rsid w:val="00E41451"/>
    <w:rsid w:val="00E56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DF30E-22FF-4642-B0F7-BACCE18FB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A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A5C"/>
    <w:pPr>
      <w:ind w:left="720"/>
      <w:contextualSpacing/>
    </w:pPr>
  </w:style>
  <w:style w:type="table" w:styleId="TableGrid">
    <w:name w:val="Table Grid"/>
    <w:basedOn w:val="TableNormal"/>
    <w:uiPriority w:val="39"/>
    <w:rsid w:val="00027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14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4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E:\Pam\S%20P%20C\Forms\Annual%20Report%20Forms\Average%20Copies%20Per%20Student%20Black-Color%205-Yea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Pam\S%20P%20C\Forms\Annual%20Report%20Forms\Average%20Copies%20Per%20Student%20Black-Color%205-Year.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Arial Black" panose="020B0A04020102020204" pitchFamily="34" charset="0"/>
              <a:ea typeface="+mn-ea"/>
              <a:cs typeface="+mn-cs"/>
            </a:defRPr>
          </a:pPr>
          <a:endParaRPr lang="en-US"/>
        </a:p>
      </c:txPr>
    </c:title>
    <c:autoTitleDeleted val="0"/>
    <c:plotArea>
      <c:layout/>
      <c:barChart>
        <c:barDir val="bar"/>
        <c:grouping val="clustered"/>
        <c:varyColors val="0"/>
        <c:ser>
          <c:idx val="0"/>
          <c:order val="0"/>
          <c:tx>
            <c:strRef>
              <c:f>BLACK!$B$1</c:f>
              <c:strCache>
                <c:ptCount val="1"/>
                <c:pt idx="0">
                  <c:v>Average Copies Per Student - Black</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lt1"/>
                    </a:solidFill>
                    <a:latin typeface="Arial Black" panose="020B0A04020102020204" pitchFamily="34"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BLACK!$A$2:$A$6</c:f>
              <c:strCache>
                <c:ptCount val="5"/>
                <c:pt idx="0">
                  <c:v>13/14</c:v>
                </c:pt>
                <c:pt idx="1">
                  <c:v>14/15</c:v>
                </c:pt>
                <c:pt idx="2">
                  <c:v>15/16</c:v>
                </c:pt>
                <c:pt idx="3">
                  <c:v>16/17</c:v>
                </c:pt>
                <c:pt idx="4">
                  <c:v>17/18</c:v>
                </c:pt>
              </c:strCache>
            </c:strRef>
          </c:cat>
          <c:val>
            <c:numRef>
              <c:f>BLACK!$B$2:$B$6</c:f>
              <c:numCache>
                <c:formatCode>General</c:formatCode>
                <c:ptCount val="5"/>
                <c:pt idx="0">
                  <c:v>2579</c:v>
                </c:pt>
                <c:pt idx="1">
                  <c:v>2418</c:v>
                </c:pt>
                <c:pt idx="2">
                  <c:v>2351</c:v>
                </c:pt>
                <c:pt idx="3">
                  <c:v>2354</c:v>
                </c:pt>
                <c:pt idx="4">
                  <c:v>2344</c:v>
                </c:pt>
              </c:numCache>
            </c:numRef>
          </c:val>
          <c:extLst>
            <c:ext xmlns:c16="http://schemas.microsoft.com/office/drawing/2014/chart" uri="{C3380CC4-5D6E-409C-BE32-E72D297353CC}">
              <c16:uniqueId val="{00000000-5EAA-41E0-829F-9E3303F025E6}"/>
            </c:ext>
          </c:extLst>
        </c:ser>
        <c:dLbls>
          <c:dLblPos val="inEnd"/>
          <c:showLegendKey val="0"/>
          <c:showVal val="1"/>
          <c:showCatName val="0"/>
          <c:showSerName val="0"/>
          <c:showPercent val="0"/>
          <c:showBubbleSize val="0"/>
        </c:dLbls>
        <c:gapWidth val="65"/>
        <c:axId val="180023384"/>
        <c:axId val="614722176"/>
      </c:barChart>
      <c:catAx>
        <c:axId val="1800233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400" b="0" i="0" u="none" strike="noStrike" kern="1200" cap="all" baseline="0">
                <a:solidFill>
                  <a:schemeClr val="dk1">
                    <a:lumMod val="75000"/>
                    <a:lumOff val="25000"/>
                  </a:schemeClr>
                </a:solidFill>
                <a:latin typeface="Arial Black" panose="020B0A04020102020204" pitchFamily="34" charset="0"/>
                <a:ea typeface="+mn-ea"/>
                <a:cs typeface="+mn-cs"/>
              </a:defRPr>
            </a:pPr>
            <a:endParaRPr lang="en-US"/>
          </a:p>
        </c:txPr>
        <c:crossAx val="614722176"/>
        <c:crosses val="autoZero"/>
        <c:auto val="1"/>
        <c:lblAlgn val="ctr"/>
        <c:lblOffset val="100"/>
        <c:noMultiLvlLbl val="0"/>
      </c:catAx>
      <c:valAx>
        <c:axId val="61472217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8002338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Arial Black" panose="020B0A04020102020204" pitchFamily="34" charset="0"/>
              <a:ea typeface="+mn-ea"/>
              <a:cs typeface="+mn-cs"/>
            </a:defRPr>
          </a:pPr>
          <a:endParaRPr lang="en-US"/>
        </a:p>
      </c:txPr>
    </c:title>
    <c:autoTitleDeleted val="0"/>
    <c:plotArea>
      <c:layout/>
      <c:barChart>
        <c:barDir val="bar"/>
        <c:grouping val="clustered"/>
        <c:varyColors val="0"/>
        <c:ser>
          <c:idx val="0"/>
          <c:order val="0"/>
          <c:tx>
            <c:strRef>
              <c:f>COLOR!$B$1</c:f>
              <c:strCache>
                <c:ptCount val="1"/>
                <c:pt idx="0">
                  <c:v>Average Copies Per Student - Color</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Arial Black" panose="020B0A04020102020204" pitchFamily="34"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COLOR!$A$2:$A$6</c:f>
              <c:strCache>
                <c:ptCount val="5"/>
                <c:pt idx="0">
                  <c:v>13/14</c:v>
                </c:pt>
                <c:pt idx="1">
                  <c:v>14/15</c:v>
                </c:pt>
                <c:pt idx="2">
                  <c:v>15/16</c:v>
                </c:pt>
                <c:pt idx="3">
                  <c:v>16/17</c:v>
                </c:pt>
                <c:pt idx="4">
                  <c:v>17/18</c:v>
                </c:pt>
              </c:strCache>
            </c:strRef>
          </c:cat>
          <c:val>
            <c:numRef>
              <c:f>COLOR!$B$2:$B$6</c:f>
              <c:numCache>
                <c:formatCode>General</c:formatCode>
                <c:ptCount val="5"/>
                <c:pt idx="0">
                  <c:v>125</c:v>
                </c:pt>
                <c:pt idx="1">
                  <c:v>137</c:v>
                </c:pt>
                <c:pt idx="2">
                  <c:v>167</c:v>
                </c:pt>
                <c:pt idx="3">
                  <c:v>185</c:v>
                </c:pt>
                <c:pt idx="4">
                  <c:v>185</c:v>
                </c:pt>
              </c:numCache>
            </c:numRef>
          </c:val>
          <c:extLst>
            <c:ext xmlns:c16="http://schemas.microsoft.com/office/drawing/2014/chart" uri="{C3380CC4-5D6E-409C-BE32-E72D297353CC}">
              <c16:uniqueId val="{00000000-4A1D-430F-8A99-2A13AC0BCA97}"/>
            </c:ext>
          </c:extLst>
        </c:ser>
        <c:dLbls>
          <c:showLegendKey val="0"/>
          <c:showVal val="0"/>
          <c:showCatName val="0"/>
          <c:showSerName val="0"/>
          <c:showPercent val="0"/>
          <c:showBubbleSize val="0"/>
        </c:dLbls>
        <c:gapWidth val="65"/>
        <c:axId val="175152656"/>
        <c:axId val="179823336"/>
      </c:barChart>
      <c:catAx>
        <c:axId val="17515265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600" b="0" i="0" u="none" strike="noStrike" kern="1200" cap="all" baseline="0">
                <a:solidFill>
                  <a:srgbClr val="C00000"/>
                </a:solidFill>
                <a:latin typeface="Arial Black" panose="020B0A04020102020204" pitchFamily="34" charset="0"/>
                <a:ea typeface="+mn-ea"/>
                <a:cs typeface="+mn-cs"/>
              </a:defRPr>
            </a:pPr>
            <a:endParaRPr lang="en-US"/>
          </a:p>
        </c:txPr>
        <c:crossAx val="179823336"/>
        <c:crosses val="autoZero"/>
        <c:auto val="1"/>
        <c:lblAlgn val="ctr"/>
        <c:lblOffset val="100"/>
        <c:noMultiLvlLbl val="0"/>
      </c:catAx>
      <c:valAx>
        <c:axId val="17982333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75152656"/>
        <c:crossesAt val="1"/>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Weed</dc:creator>
  <cp:keywords/>
  <dc:description/>
  <cp:lastModifiedBy>Sallie</cp:lastModifiedBy>
  <cp:revision>2</cp:revision>
  <dcterms:created xsi:type="dcterms:W3CDTF">2019-05-03T11:46:00Z</dcterms:created>
  <dcterms:modified xsi:type="dcterms:W3CDTF">2019-05-03T11:46:00Z</dcterms:modified>
</cp:coreProperties>
</file>